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500"/>
        <w:gridCol w:w="6360"/>
        <w:gridCol w:w="1500"/>
        <w:tblGridChange w:id="0">
          <w:tblGrid>
            <w:gridCol w:w="1500"/>
            <w:gridCol w:w="6360"/>
            <w:gridCol w:w="1500"/>
          </w:tblGrid>
        </w:tblGridChange>
      </w:tblGrid>
      <w:tr>
        <w:trPr>
          <w:cantSplit w:val="0"/>
          <w:tblHeader w:val="0"/>
        </w:trPr>
        <w:tc>
          <w:tcPr>
            <w:vAlign w:val="center"/>
          </w:tcPr>
          <w:p w:rsidR="00000000" w:rsidDel="00000000" w:rsidP="00000000" w:rsidRDefault="00000000" w:rsidRPr="00000000" w14:paraId="00000002">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-247649</wp:posOffset>
                  </wp:positionH>
                  <wp:positionV relativeFrom="paragraph">
                    <wp:posOffset>1905</wp:posOffset>
                  </wp:positionV>
                  <wp:extent cx="612140" cy="597535"/>
                  <wp:effectExtent b="0" l="0" r="0" t="0"/>
                  <wp:wrapNone/>
                  <wp:docPr id="2" name="image2.png"/>
                  <a:graphic>
                    <a:graphicData uri="http://schemas.openxmlformats.org/drawingml/2006/picture">
                      <pic:pic>
                        <pic:nvPicPr>
                          <pic:cNvPr id="0" name="image2.png"/>
                          <pic:cNvPicPr preferRelativeResize="0"/>
                        </pic:nvPicPr>
                        <pic:blipFill>
                          <a:blip r:embed="rId6"/>
                          <a:srcRect b="1986" l="0" r="0" t="2076"/>
                          <a:stretch>
                            <a:fillRect/>
                          </a:stretch>
                        </pic:blipFill>
                        <pic:spPr>
                          <a:xfrm>
                            <a:off x="0" y="0"/>
                            <a:ext cx="612140" cy="597535"/>
                          </a:xfrm>
                          <a:prstGeom prst="rect"/>
                          <a:ln/>
                        </pic:spPr>
                      </pic:pic>
                    </a:graphicData>
                  </a:graphic>
                </wp:anchor>
              </w:drawing>
            </w:r>
          </w:p>
        </w:tc>
        <w:tc>
          <w:tcPr>
            <w:vAlign w:val="center"/>
          </w:tcPr>
          <w:p w:rsidR="00000000" w:rsidDel="00000000" w:rsidP="00000000" w:rsidRDefault="00000000" w:rsidRPr="00000000" w14:paraId="00000003">
            <w:pPr>
              <w:spacing w:after="40" w:lineRule="auto"/>
              <w:jc w:val="center"/>
              <w:rPr/>
            </w:pPr>
            <w:r w:rsidDel="00000000" w:rsidR="00000000" w:rsidRPr="00000000">
              <w:rPr>
                <w:rFonts w:ascii="Calibri" w:cs="Calibri" w:eastAsia="Calibri" w:hAnsi="Calibri"/>
                <w:b w:val="1"/>
                <w:bCs w:val="1"/>
                <w:color w:val="1f3864"/>
                <w:sz w:val="30"/>
                <w:szCs w:val="30"/>
                <w:rtl w:val="0"/>
              </w:rPr>
              <w:t xml:space="preserve">SKILL DEVELOPMENT CELL (SDC)</w:t>
            </w:r>
            <w:r w:rsidDel="00000000" w:rsidR="00000000" w:rsidRPr="00000000">
              <w:rPr>
                <w:rtl w:val="0"/>
              </w:rPr>
            </w:r>
          </w:p>
          <w:p w:rsidR="00000000" w:rsidDel="00000000" w:rsidP="00000000" w:rsidRDefault="00000000" w:rsidRPr="00000000" w14:paraId="00000004">
            <w:pPr>
              <w:spacing w:after="20" w:lineRule="auto"/>
              <w:jc w:val="center"/>
              <w:rPr/>
            </w:pPr>
            <w:r w:rsidDel="00000000" w:rsidR="00000000" w:rsidRPr="00000000">
              <w:rPr>
                <w:rFonts w:ascii="Calibri" w:cs="Calibri" w:eastAsia="Calibri" w:hAnsi="Calibri"/>
                <w:color w:val="444444"/>
                <w:rtl w:val="0"/>
              </w:rPr>
              <w:t xml:space="preserve">Shaheed Sukhdev College of Business Studies</w:t>
            </w:r>
            <w:r w:rsidDel="00000000" w:rsidR="00000000" w:rsidRPr="00000000">
              <w:rPr>
                <w:rtl w:val="0"/>
              </w:rPr>
            </w:r>
          </w:p>
          <w:p w:rsidR="00000000" w:rsidDel="00000000" w:rsidP="00000000" w:rsidRDefault="00000000" w:rsidRPr="00000000" w14:paraId="00000005">
            <w:pPr>
              <w:jc w:val="center"/>
              <w:rPr/>
            </w:pPr>
            <w:r w:rsidDel="00000000" w:rsidR="00000000" w:rsidRPr="00000000">
              <w:rPr>
                <w:rFonts w:ascii="Calibri" w:cs="Calibri" w:eastAsia="Calibri" w:hAnsi="Calibri"/>
                <w:color w:val="444444"/>
                <w:rtl w:val="0"/>
              </w:rPr>
              <w:t xml:space="preserve">University of Delhi</w:t>
            </w:r>
            <w:r w:rsidDel="00000000" w:rsidR="00000000" w:rsidRPr="00000000">
              <w:rPr>
                <w:rtl w:val="0"/>
              </w:rPr>
            </w:r>
          </w:p>
        </w:tc>
        <w:tc>
          <w:tcPr>
            <w:vAlign w:val="center"/>
          </w:tcPr>
          <w:p w:rsidR="00000000" w:rsidDel="00000000" w:rsidP="00000000" w:rsidRDefault="00000000" w:rsidRPr="00000000" w14:paraId="00000006">
            <w:pPr>
              <w:jc w:val="right"/>
              <w:rPr/>
            </w:pPr>
            <w:r w:rsidDel="00000000" w:rsidR="00000000" w:rsidRPr="00000000">
              <w:rPr>
                <w:rtl w:val="0"/>
              </w:rPr>
            </w:r>
          </w:p>
        </w:tc>
      </w:tr>
    </w:tbl>
    <w:p w:rsidR="00000000" w:rsidDel="00000000" w:rsidP="00000000" w:rsidRDefault="00000000" w:rsidRPr="00000000" w14:paraId="00000007">
      <w:pPr>
        <w:spacing w:after="200" w:before="240" w:lineRule="auto"/>
        <w:jc w:val="center"/>
        <w:rPr/>
      </w:pPr>
      <w:r w:rsidDel="00000000" w:rsidR="00000000" w:rsidRPr="00000000">
        <w:rPr>
          <w:rFonts w:ascii="Calibri" w:cs="Calibri" w:eastAsia="Calibri" w:hAnsi="Calibri"/>
          <w:b w:val="1"/>
          <w:bCs w:val="1"/>
          <w:color w:val="1f3864"/>
          <w:sz w:val="26"/>
          <w:szCs w:val="26"/>
          <w:rtl w:val="0"/>
        </w:rPr>
        <w:t xml:space="preserve">E V E N T   R E P O R T</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5607050</wp:posOffset>
            </wp:positionH>
            <wp:positionV relativeFrom="paragraph">
              <wp:posOffset>-633094</wp:posOffset>
            </wp:positionV>
            <wp:extent cx="922655" cy="549910"/>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22655" cy="549910"/>
                    </a:xfrm>
                    <a:prstGeom prst="rect"/>
                    <a:ln/>
                  </pic:spPr>
                </pic:pic>
              </a:graphicData>
            </a:graphic>
          </wp:anchor>
        </w:drawing>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1f3864" w:val="clear"/>
            <w:tcMar>
              <w:top w:w="160.0" w:type="dxa"/>
              <w:left w:w="200.0" w:type="dxa"/>
              <w:bottom w:w="120.0" w:type="dxa"/>
              <w:right w:w="200.0" w:type="dxa"/>
            </w:tcMar>
          </w:tcPr>
          <w:p w:rsidR="00000000" w:rsidDel="00000000" w:rsidP="00000000" w:rsidRDefault="00000000" w:rsidRPr="00000000" w14:paraId="00000008">
            <w:pPr>
              <w:rPr/>
            </w:pPr>
            <w:r w:rsidDel="00000000" w:rsidR="00000000" w:rsidRPr="00000000">
              <w:rPr>
                <w:rFonts w:ascii="Calibri" w:cs="Calibri" w:eastAsia="Calibri" w:hAnsi="Calibri"/>
                <w:b w:val="1"/>
                <w:bCs w:val="1"/>
                <w:color w:val="ffffff"/>
                <w:sz w:val="38"/>
                <w:szCs w:val="38"/>
                <w:rtl w:val="0"/>
              </w:rPr>
              <w:t xml:space="preserve">CONSULTING WORKSHOP</w:t>
            </w:r>
            <w:r w:rsidDel="00000000" w:rsidR="00000000" w:rsidRPr="00000000">
              <w:rPr>
                <w:rtl w:val="0"/>
              </w:rPr>
            </w:r>
          </w:p>
        </w:tc>
      </w:tr>
      <w:tr>
        <w:trPr>
          <w:cantSplit w:val="0"/>
          <w:tblHeader w:val="0"/>
        </w:trPr>
        <w:tc>
          <w:tcPr>
            <w:shd w:fill="b7862c" w:val="clear"/>
            <w:tcMar>
              <w:top w:w="100.0" w:type="dxa"/>
              <w:left w:w="200.0" w:type="dxa"/>
              <w:bottom w:w="100.0" w:type="dxa"/>
              <w:right w:w="200.0" w:type="dxa"/>
            </w:tcMar>
          </w:tcPr>
          <w:p w:rsidR="00000000" w:rsidDel="00000000" w:rsidP="00000000" w:rsidRDefault="00000000" w:rsidRPr="00000000" w14:paraId="00000009">
            <w:pPr>
              <w:rPr/>
            </w:pPr>
            <w:r w:rsidDel="00000000" w:rsidR="00000000" w:rsidRPr="00000000">
              <w:rPr>
                <w:rFonts w:ascii="Calibri" w:cs="Calibri" w:eastAsia="Calibri" w:hAnsi="Calibri"/>
                <w:color w:val="ffffff"/>
                <w:sz w:val="24"/>
                <w:szCs w:val="24"/>
                <w:rtl w:val="0"/>
              </w:rPr>
              <w:t xml:space="preserve">A Deep Dive into Business Frameworks Through a Consultant's Lens</w:t>
            </w:r>
            <w:r w:rsidDel="00000000" w:rsidR="00000000" w:rsidRPr="00000000">
              <w:rPr>
                <w:rtl w:val="0"/>
              </w:rPr>
            </w:r>
          </w:p>
        </w:tc>
      </w:tr>
    </w:tbl>
    <w:p w:rsidR="00000000" w:rsidDel="00000000" w:rsidP="00000000" w:rsidRDefault="00000000" w:rsidRPr="00000000" w14:paraId="0000000A">
      <w:pPr>
        <w:pBdr>
          <w:bottom w:color="b7862c" w:space="1" w:sz="8" w:val="single"/>
        </w:pBdr>
        <w:spacing w:after="200" w:before="200" w:lineRule="auto"/>
        <w:rPr/>
      </w:pP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0"/>
        <w:gridCol w:w="6240"/>
        <w:tblGridChange w:id="0">
          <w:tblGrid>
            <w:gridCol w:w="3120"/>
            <w:gridCol w:w="6240"/>
          </w:tblGrid>
        </w:tblGridChange>
      </w:tblGrid>
      <w:tr>
        <w:trPr>
          <w:cantSplit w:val="0"/>
          <w:tblHeader w:val="0"/>
        </w:trPr>
        <w:tc>
          <w:tcPr>
            <w:shd w:fill="dce6f1" w:val="clear"/>
            <w:tcMar>
              <w:top w:w="100.0" w:type="dxa"/>
              <w:left w:w="150.0" w:type="dxa"/>
              <w:bottom w:w="100.0" w:type="dxa"/>
              <w:right w:w="150.0" w:type="dxa"/>
            </w:tcMar>
            <w:vAlign w:val="center"/>
          </w:tcPr>
          <w:p w:rsidR="00000000" w:rsidDel="00000000" w:rsidP="00000000" w:rsidRDefault="00000000" w:rsidRPr="00000000" w14:paraId="0000000B">
            <w:pPr>
              <w:rPr/>
            </w:pPr>
            <w:r w:rsidDel="00000000" w:rsidR="00000000" w:rsidRPr="00000000">
              <w:rPr>
                <w:rFonts w:ascii="Calibri" w:cs="Calibri" w:eastAsia="Calibri" w:hAnsi="Calibri"/>
                <w:b w:val="1"/>
                <w:bCs w:val="1"/>
                <w:color w:val="1f3864"/>
                <w:sz w:val="21"/>
                <w:szCs w:val="21"/>
                <w:rtl w:val="0"/>
              </w:rPr>
              <w:t xml:space="preserve">Organized By</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0C">
            <w:pPr>
              <w:rPr/>
            </w:pPr>
            <w:r w:rsidDel="00000000" w:rsidR="00000000" w:rsidRPr="00000000">
              <w:rPr>
                <w:rFonts w:ascii="Calibri" w:cs="Calibri" w:eastAsia="Calibri" w:hAnsi="Calibri"/>
                <w:color w:val="222222"/>
                <w:sz w:val="21"/>
                <w:szCs w:val="21"/>
                <w:rtl w:val="0"/>
              </w:rPr>
              <w:t xml:space="preserve">Skill Development Cell (SDC)</w:t>
            </w:r>
            <w:r w:rsidDel="00000000" w:rsidR="00000000" w:rsidRPr="00000000">
              <w:rPr>
                <w:rtl w:val="0"/>
              </w:rPr>
            </w:r>
          </w:p>
        </w:tc>
      </w:tr>
      <w:tr>
        <w:trPr>
          <w:cantSplit w:val="0"/>
          <w:tblHeader w:val="0"/>
        </w:trPr>
        <w:tc>
          <w:tcPr>
            <w:tcMar>
              <w:top w:w="100.0" w:type="dxa"/>
              <w:left w:w="150.0" w:type="dxa"/>
              <w:bottom w:w="100.0" w:type="dxa"/>
              <w:right w:w="150.0" w:type="dxa"/>
            </w:tcMar>
            <w:vAlign w:val="center"/>
          </w:tcPr>
          <w:p w:rsidR="00000000" w:rsidDel="00000000" w:rsidP="00000000" w:rsidRDefault="00000000" w:rsidRPr="00000000" w14:paraId="0000000D">
            <w:pPr>
              <w:rPr/>
            </w:pPr>
            <w:r w:rsidDel="00000000" w:rsidR="00000000" w:rsidRPr="00000000">
              <w:rPr>
                <w:rFonts w:ascii="Calibri" w:cs="Calibri" w:eastAsia="Calibri" w:hAnsi="Calibri"/>
                <w:b w:val="1"/>
                <w:bCs w:val="1"/>
                <w:color w:val="1f3864"/>
                <w:sz w:val="21"/>
                <w:szCs w:val="21"/>
                <w:rtl w:val="0"/>
              </w:rPr>
              <w:t xml:space="preserve">Institution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0E">
            <w:pPr>
              <w:rPr/>
            </w:pPr>
            <w:r w:rsidDel="00000000" w:rsidR="00000000" w:rsidRPr="00000000">
              <w:rPr>
                <w:rFonts w:ascii="Calibri" w:cs="Calibri" w:eastAsia="Calibri" w:hAnsi="Calibri"/>
                <w:color w:val="222222"/>
                <w:sz w:val="21"/>
                <w:szCs w:val="21"/>
                <w:rtl w:val="0"/>
              </w:rPr>
              <w:t xml:space="preserve">SSCBS, University of Delhi</w:t>
            </w:r>
            <w:r w:rsidDel="00000000" w:rsidR="00000000" w:rsidRPr="00000000">
              <w:rPr>
                <w:rtl w:val="0"/>
              </w:rPr>
            </w:r>
          </w:p>
        </w:tc>
      </w:tr>
      <w:tr>
        <w:trPr>
          <w:cantSplit w:val="0"/>
          <w:tblHeader w:val="0"/>
        </w:trPr>
        <w:tc>
          <w:tcPr>
            <w:shd w:fill="dce6f1" w:val="clear"/>
            <w:tcMar>
              <w:top w:w="100.0" w:type="dxa"/>
              <w:left w:w="150.0" w:type="dxa"/>
              <w:bottom w:w="100.0" w:type="dxa"/>
              <w:right w:w="150.0" w:type="dxa"/>
            </w:tcMar>
            <w:vAlign w:val="center"/>
          </w:tcPr>
          <w:p w:rsidR="00000000" w:rsidDel="00000000" w:rsidP="00000000" w:rsidRDefault="00000000" w:rsidRPr="00000000" w14:paraId="0000000F">
            <w:pPr>
              <w:rPr/>
            </w:pPr>
            <w:r w:rsidDel="00000000" w:rsidR="00000000" w:rsidRPr="00000000">
              <w:rPr>
                <w:rFonts w:ascii="Calibri" w:cs="Calibri" w:eastAsia="Calibri" w:hAnsi="Calibri"/>
                <w:b w:val="1"/>
                <w:bCs w:val="1"/>
                <w:color w:val="1f3864"/>
                <w:sz w:val="21"/>
                <w:szCs w:val="21"/>
                <w:rtl w:val="0"/>
              </w:rPr>
              <w:t xml:space="preserve">Event Name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10">
            <w:pPr>
              <w:rPr/>
            </w:pPr>
            <w:r w:rsidDel="00000000" w:rsidR="00000000" w:rsidRPr="00000000">
              <w:rPr>
                <w:rFonts w:ascii="Calibri" w:cs="Calibri" w:eastAsia="Calibri" w:hAnsi="Calibri"/>
                <w:color w:val="222222"/>
                <w:sz w:val="21"/>
                <w:szCs w:val="21"/>
                <w:rtl w:val="0"/>
              </w:rPr>
              <w:t xml:space="preserve">Consulting Workshop</w:t>
            </w:r>
            <w:r w:rsidDel="00000000" w:rsidR="00000000" w:rsidRPr="00000000">
              <w:rPr>
                <w:rtl w:val="0"/>
              </w:rPr>
            </w:r>
          </w:p>
        </w:tc>
      </w:tr>
      <w:tr>
        <w:trPr>
          <w:cantSplit w:val="0"/>
          <w:tblHeader w:val="0"/>
        </w:trPr>
        <w:tc>
          <w:tcPr>
            <w:tcMar>
              <w:top w:w="100.0" w:type="dxa"/>
              <w:left w:w="150.0" w:type="dxa"/>
              <w:bottom w:w="100.0" w:type="dxa"/>
              <w:right w:w="150.0" w:type="dxa"/>
            </w:tcMar>
            <w:vAlign w:val="center"/>
          </w:tcPr>
          <w:p w:rsidR="00000000" w:rsidDel="00000000" w:rsidP="00000000" w:rsidRDefault="00000000" w:rsidRPr="00000000" w14:paraId="00000011">
            <w:pPr>
              <w:rPr/>
            </w:pPr>
            <w:r w:rsidDel="00000000" w:rsidR="00000000" w:rsidRPr="00000000">
              <w:rPr>
                <w:rFonts w:ascii="Calibri" w:cs="Calibri" w:eastAsia="Calibri" w:hAnsi="Calibri"/>
                <w:b w:val="1"/>
                <w:bCs w:val="1"/>
                <w:color w:val="1f3864"/>
                <w:sz w:val="21"/>
                <w:szCs w:val="21"/>
                <w:rtl w:val="0"/>
              </w:rPr>
              <w:t xml:space="preserve">Duration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12">
            <w:pPr>
              <w:rPr/>
            </w:pPr>
            <w:r w:rsidDel="00000000" w:rsidR="00000000" w:rsidRPr="00000000">
              <w:rPr>
                <w:rFonts w:ascii="Calibri" w:cs="Calibri" w:eastAsia="Calibri" w:hAnsi="Calibri"/>
                <w:color w:val="222222"/>
                <w:sz w:val="21"/>
                <w:szCs w:val="21"/>
                <w:rtl w:val="0"/>
              </w:rPr>
              <w:t xml:space="preserve">4 Days, 4 Hours Each</w:t>
            </w:r>
            <w:r w:rsidDel="00000000" w:rsidR="00000000" w:rsidRPr="00000000">
              <w:rPr>
                <w:rtl w:val="0"/>
              </w:rPr>
            </w:r>
          </w:p>
        </w:tc>
      </w:tr>
      <w:tr>
        <w:trPr>
          <w:cantSplit w:val="0"/>
          <w:tblHeader w:val="0"/>
        </w:trPr>
        <w:tc>
          <w:tcPr>
            <w:shd w:fill="dce6f1" w:val="clear"/>
            <w:tcMar>
              <w:top w:w="100.0" w:type="dxa"/>
              <w:left w:w="150.0" w:type="dxa"/>
              <w:bottom w:w="100.0" w:type="dxa"/>
              <w:right w:w="150.0" w:type="dxa"/>
            </w:tcMar>
            <w:vAlign w:val="center"/>
          </w:tcPr>
          <w:p w:rsidR="00000000" w:rsidDel="00000000" w:rsidP="00000000" w:rsidRDefault="00000000" w:rsidRPr="00000000" w14:paraId="00000013">
            <w:pPr>
              <w:rPr/>
            </w:pPr>
            <w:r w:rsidDel="00000000" w:rsidR="00000000" w:rsidRPr="00000000">
              <w:rPr>
                <w:rFonts w:ascii="Calibri" w:cs="Calibri" w:eastAsia="Calibri" w:hAnsi="Calibri"/>
                <w:b w:val="1"/>
                <w:bCs w:val="1"/>
                <w:color w:val="1f3864"/>
                <w:sz w:val="21"/>
                <w:szCs w:val="21"/>
                <w:rtl w:val="0"/>
              </w:rPr>
              <w:t xml:space="preserve">Dates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14">
            <w:pPr>
              <w:rPr/>
            </w:pPr>
            <w:r w:rsidDel="00000000" w:rsidR="00000000" w:rsidRPr="00000000">
              <w:rPr>
                <w:rFonts w:ascii="Calibri" w:cs="Calibri" w:eastAsia="Calibri" w:hAnsi="Calibri"/>
                <w:color w:val="222222"/>
                <w:sz w:val="21"/>
                <w:szCs w:val="21"/>
                <w:rtl w:val="0"/>
              </w:rPr>
              <w:t xml:space="preserve">19th, 20th, 25th &amp; 31st March 2026</w:t>
            </w:r>
            <w:r w:rsidDel="00000000" w:rsidR="00000000" w:rsidRPr="00000000">
              <w:rPr>
                <w:rtl w:val="0"/>
              </w:rPr>
            </w:r>
          </w:p>
        </w:tc>
      </w:tr>
      <w:tr>
        <w:trPr>
          <w:cantSplit w:val="0"/>
          <w:tblHeader w:val="0"/>
        </w:trPr>
        <w:tc>
          <w:tcPr>
            <w:tcMar>
              <w:top w:w="100.0" w:type="dxa"/>
              <w:left w:w="150.0" w:type="dxa"/>
              <w:bottom w:w="100.0" w:type="dxa"/>
              <w:right w:w="150.0" w:type="dxa"/>
            </w:tcMar>
            <w:vAlign w:val="center"/>
          </w:tcPr>
          <w:p w:rsidR="00000000" w:rsidDel="00000000" w:rsidP="00000000" w:rsidRDefault="00000000" w:rsidRPr="00000000" w14:paraId="00000015">
            <w:pPr>
              <w:rPr/>
            </w:pPr>
            <w:r w:rsidDel="00000000" w:rsidR="00000000" w:rsidRPr="00000000">
              <w:rPr>
                <w:rFonts w:ascii="Calibri" w:cs="Calibri" w:eastAsia="Calibri" w:hAnsi="Calibri"/>
                <w:b w:val="1"/>
                <w:bCs w:val="1"/>
                <w:color w:val="1f3864"/>
                <w:sz w:val="21"/>
                <w:szCs w:val="21"/>
                <w:rtl w:val="0"/>
              </w:rPr>
              <w:t xml:space="preserve">Average Participants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16">
            <w:pPr>
              <w:rPr/>
            </w:pPr>
            <w:r w:rsidDel="00000000" w:rsidR="00000000" w:rsidRPr="00000000">
              <w:rPr>
                <w:rFonts w:ascii="Calibri" w:cs="Calibri" w:eastAsia="Calibri" w:hAnsi="Calibri"/>
                <w:color w:val="222222"/>
                <w:sz w:val="21"/>
                <w:szCs w:val="21"/>
                <w:rtl w:val="0"/>
              </w:rPr>
              <w:t xml:space="preserve">~65 per day</w:t>
            </w:r>
            <w:r w:rsidDel="00000000" w:rsidR="00000000" w:rsidRPr="00000000">
              <w:rPr>
                <w:rtl w:val="0"/>
              </w:rPr>
            </w:r>
          </w:p>
        </w:tc>
      </w:tr>
      <w:tr>
        <w:trPr>
          <w:cantSplit w:val="0"/>
          <w:tblHeader w:val="0"/>
        </w:trPr>
        <w:tc>
          <w:tcPr>
            <w:shd w:fill="dce6f1" w:val="clear"/>
            <w:tcMar>
              <w:top w:w="100.0" w:type="dxa"/>
              <w:left w:w="150.0" w:type="dxa"/>
              <w:bottom w:w="100.0" w:type="dxa"/>
              <w:right w:w="150.0" w:type="dxa"/>
            </w:tcMar>
            <w:vAlign w:val="center"/>
          </w:tcPr>
          <w:p w:rsidR="00000000" w:rsidDel="00000000" w:rsidP="00000000" w:rsidRDefault="00000000" w:rsidRPr="00000000" w14:paraId="00000017">
            <w:pPr>
              <w:rPr/>
            </w:pPr>
            <w:r w:rsidDel="00000000" w:rsidR="00000000" w:rsidRPr="00000000">
              <w:rPr>
                <w:rFonts w:ascii="Calibri" w:cs="Calibri" w:eastAsia="Calibri" w:hAnsi="Calibri"/>
                <w:b w:val="1"/>
                <w:bCs w:val="1"/>
                <w:color w:val="1f3864"/>
                <w:sz w:val="21"/>
                <w:szCs w:val="21"/>
                <w:rtl w:val="0"/>
              </w:rPr>
              <w:t xml:space="preserve">Document Type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18">
            <w:pPr>
              <w:rPr/>
            </w:pPr>
            <w:r w:rsidDel="00000000" w:rsidR="00000000" w:rsidRPr="00000000">
              <w:rPr>
                <w:rFonts w:ascii="Calibri" w:cs="Calibri" w:eastAsia="Calibri" w:hAnsi="Calibri"/>
                <w:color w:val="222222"/>
                <w:sz w:val="21"/>
                <w:szCs w:val="21"/>
                <w:rtl w:val="0"/>
              </w:rPr>
              <w:t xml:space="preserve">Official Event Report</w:t>
            </w:r>
            <w:r w:rsidDel="00000000" w:rsidR="00000000" w:rsidRPr="00000000">
              <w:rPr>
                <w:rtl w:val="0"/>
              </w:rPr>
            </w:r>
          </w:p>
        </w:tc>
      </w:tr>
    </w:tbl>
    <w:p w:rsidR="00000000" w:rsidDel="00000000" w:rsidP="00000000" w:rsidRDefault="00000000" w:rsidRPr="00000000" w14:paraId="00000019">
      <w:pPr>
        <w:spacing w:before="240" w:lineRule="auto"/>
        <w:rPr/>
      </w:pPr>
      <w:r w:rsidDel="00000000" w:rsidR="00000000" w:rsidRPr="00000000">
        <w:rPr>
          <w:rtl w:val="0"/>
        </w:rPr>
      </w:r>
    </w:p>
    <w:p w:rsidR="00000000" w:rsidDel="00000000" w:rsidP="00000000" w:rsidRDefault="00000000" w:rsidRPr="00000000" w14:paraId="0000001A">
      <w:pPr>
        <w:pBdr>
          <w:bottom w:color="1f3864" w:space="4" w:sz="6" w:val="single"/>
        </w:pBdr>
        <w:spacing w:after="160" w:before="320" w:lineRule="auto"/>
        <w:rPr/>
      </w:pPr>
      <w:r w:rsidDel="00000000" w:rsidR="00000000" w:rsidRPr="00000000">
        <w:rPr>
          <w:rFonts w:ascii="Calibri" w:cs="Calibri" w:eastAsia="Calibri" w:hAnsi="Calibri"/>
          <w:b w:val="1"/>
          <w:bCs w:val="1"/>
          <w:color w:val="1f3864"/>
          <w:sz w:val="26"/>
          <w:szCs w:val="26"/>
          <w:rtl w:val="0"/>
        </w:rPr>
        <w:t xml:space="preserve">1. Event Overview</w:t>
      </w:r>
      <w:r w:rsidDel="00000000" w:rsidR="00000000" w:rsidRPr="00000000">
        <w:rPr>
          <w:rtl w:val="0"/>
        </w:rPr>
      </w:r>
    </w:p>
    <w:p w:rsidR="00000000" w:rsidDel="00000000" w:rsidP="00000000" w:rsidRDefault="00000000" w:rsidRPr="00000000" w14:paraId="0000001B">
      <w:pPr>
        <w:spacing w:after="120" w:line="264" w:lineRule="auto"/>
        <w:jc w:val="both"/>
        <w:rPr/>
      </w:pPr>
      <w:r w:rsidDel="00000000" w:rsidR="00000000" w:rsidRPr="00000000">
        <w:rPr>
          <w:rFonts w:ascii="Calibri" w:cs="Calibri" w:eastAsia="Calibri" w:hAnsi="Calibri"/>
          <w:color w:val="222222"/>
          <w:sz w:val="22"/>
          <w:szCs w:val="22"/>
          <w:rtl w:val="0"/>
        </w:rPr>
        <w:t xml:space="preserve">The Skill Development Cell (SDC), SSCBS, organized a four-day Consulting Workshop, with each session running for four hours, held on 19th, 20th, 25th, and 31st March 2026. The workshop was designed to introduce students to the business landscape through the lens of a real consultant, drawing an average of around 65 participants across each of the four sessions.</w:t>
      </w:r>
      <w:r w:rsidDel="00000000" w:rsidR="00000000" w:rsidRPr="00000000">
        <w:rPr>
          <w:rtl w:val="0"/>
        </w:rPr>
      </w:r>
    </w:p>
    <w:p w:rsidR="00000000" w:rsidDel="00000000" w:rsidP="00000000" w:rsidRDefault="00000000" w:rsidRPr="00000000" w14:paraId="0000001C">
      <w:pPr>
        <w:pBdr>
          <w:bottom w:color="1f3864" w:space="4" w:sz="6" w:val="single"/>
        </w:pBdr>
        <w:spacing w:after="160" w:before="320" w:lineRule="auto"/>
        <w:rPr/>
      </w:pPr>
      <w:r w:rsidDel="00000000" w:rsidR="00000000" w:rsidRPr="00000000">
        <w:rPr>
          <w:rFonts w:ascii="Calibri" w:cs="Calibri" w:eastAsia="Calibri" w:hAnsi="Calibri"/>
          <w:b w:val="1"/>
          <w:bCs w:val="1"/>
          <w:color w:val="1f3864"/>
          <w:sz w:val="26"/>
          <w:szCs w:val="26"/>
          <w:rtl w:val="0"/>
        </w:rPr>
        <w:t xml:space="preserve">2. About the Activity</w:t>
      </w:r>
      <w:r w:rsidDel="00000000" w:rsidR="00000000" w:rsidRPr="00000000">
        <w:rPr>
          <w:rtl w:val="0"/>
        </w:rPr>
      </w:r>
    </w:p>
    <w:p w:rsidR="00000000" w:rsidDel="00000000" w:rsidP="00000000" w:rsidRDefault="00000000" w:rsidRPr="00000000" w14:paraId="0000001D">
      <w:pPr>
        <w:spacing w:after="120" w:line="264" w:lineRule="auto"/>
        <w:jc w:val="both"/>
        <w:rPr/>
      </w:pPr>
      <w:r w:rsidDel="00000000" w:rsidR="00000000" w:rsidRPr="00000000">
        <w:rPr>
          <w:rFonts w:ascii="Calibri" w:cs="Calibri" w:eastAsia="Calibri" w:hAnsi="Calibri"/>
          <w:color w:val="222222"/>
          <w:sz w:val="22"/>
          <w:szCs w:val="22"/>
          <w:rtl w:val="0"/>
        </w:rPr>
        <w:t xml:space="preserve">The workshop took participants through a range of consulting frameworks used to structure and solve business problems, including MECE (Mutually Exclusive, Collectively Exhaustive), the McKinsey Three Horizons framework, and other widely used problem-solving tools. Facilitators explained how these frameworks help consultants break down complex, ambiguous problems into clear, structured components, forming the backbone of professional business analysis.</w:t>
      </w:r>
      <w:r w:rsidDel="00000000" w:rsidR="00000000" w:rsidRPr="00000000">
        <w:rPr>
          <w:rtl w:val="0"/>
        </w:rPr>
      </w:r>
    </w:p>
    <w:p w:rsidR="00000000" w:rsidDel="00000000" w:rsidP="00000000" w:rsidRDefault="00000000" w:rsidRPr="00000000" w14:paraId="0000001E">
      <w:pPr>
        <w:spacing w:after="120" w:line="264" w:lineRule="auto"/>
        <w:jc w:val="both"/>
        <w:rPr/>
      </w:pPr>
      <w:r w:rsidDel="00000000" w:rsidR="00000000" w:rsidRPr="00000000">
        <w:rPr>
          <w:rFonts w:ascii="Calibri" w:cs="Calibri" w:eastAsia="Calibri" w:hAnsi="Calibri"/>
          <w:color w:val="222222"/>
          <w:sz w:val="22"/>
          <w:szCs w:val="22"/>
          <w:rtl w:val="0"/>
        </w:rPr>
        <w:t xml:space="preserve">These frameworks were brought to life through real-world case studies, including an in-depth look at the Airtel-Jio rivalry, which was used to explore competitive strategy, market positioning, and disruption within the telecom industry. On the other end of the spectrum, participants also examined a small, local chai wala business, using it to understand how foundational business concepts and strategic thinking apply just as much to small-scale enterprises as they do to large corporations.</w:t>
      </w:r>
      <w:r w:rsidDel="00000000" w:rsidR="00000000" w:rsidRPr="00000000">
        <w:rPr>
          <w:rtl w:val="0"/>
        </w:rPr>
      </w:r>
    </w:p>
    <w:p w:rsidR="00000000" w:rsidDel="00000000" w:rsidP="00000000" w:rsidRDefault="00000000" w:rsidRPr="00000000" w14:paraId="0000001F">
      <w:pPr>
        <w:spacing w:after="120" w:line="264" w:lineRule="auto"/>
        <w:jc w:val="both"/>
        <w:rPr/>
      </w:pPr>
      <w:r w:rsidDel="00000000" w:rsidR="00000000" w:rsidRPr="00000000">
        <w:rPr>
          <w:rFonts w:ascii="Calibri" w:cs="Calibri" w:eastAsia="Calibri" w:hAnsi="Calibri"/>
          <w:color w:val="222222"/>
          <w:sz w:val="22"/>
          <w:szCs w:val="22"/>
          <w:rtl w:val="0"/>
        </w:rPr>
        <w:t xml:space="preserve">A significant part of the workshop was dedicated to understanding business moats — the sustainable competitive advantages that allow companies to defend their market position over time — and how businesses are built and scaled with these moats in mind. Participants also learned how to approach problems the way a consultant would: structuring the problem, forming hypotheses, gathering and analyzing relevant information, and arriving at clear, actionable recommendations.</w:t>
      </w:r>
      <w:r w:rsidDel="00000000" w:rsidR="00000000" w:rsidRPr="00000000">
        <w:rPr>
          <w:rtl w:val="0"/>
        </w:rPr>
      </w:r>
    </w:p>
    <w:p w:rsidR="00000000" w:rsidDel="00000000" w:rsidP="00000000" w:rsidRDefault="00000000" w:rsidRPr="00000000" w14:paraId="00000020">
      <w:pPr>
        <w:pBdr>
          <w:bottom w:color="1f3864" w:space="4" w:sz="6" w:val="single"/>
        </w:pBdr>
        <w:spacing w:after="160" w:before="320" w:lineRule="auto"/>
        <w:rPr/>
      </w:pPr>
      <w:r w:rsidDel="00000000" w:rsidR="00000000" w:rsidRPr="00000000">
        <w:rPr>
          <w:rFonts w:ascii="Calibri" w:cs="Calibri" w:eastAsia="Calibri" w:hAnsi="Calibri"/>
          <w:b w:val="1"/>
          <w:bCs w:val="1"/>
          <w:color w:val="1f3864"/>
          <w:sz w:val="26"/>
          <w:szCs w:val="26"/>
          <w:rtl w:val="0"/>
        </w:rPr>
        <w:t xml:space="preserve">3. Event Photograph</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b0b0b0" w:space="0" w:sz="6" w:val="dashed"/>
              <w:left w:color="b0b0b0" w:space="0" w:sz="6" w:val="dashed"/>
              <w:bottom w:color="b0b0b0" w:space="0" w:sz="6" w:val="dashed"/>
              <w:right w:color="b0b0b0" w:space="0" w:sz="6" w:val="dashed"/>
            </w:tcBorders>
            <w:shd w:fill="f2f2f2" w:val="clear"/>
            <w:tcMar>
              <w:top w:w="500.0" w:type="dxa"/>
              <w:left w:w="200.0" w:type="dxa"/>
              <w:bottom w:w="500.0" w:type="dxa"/>
              <w:right w:w="200.0" w:type="dxa"/>
            </w:tcMar>
          </w:tcPr>
          <w:p w:rsidR="00000000" w:rsidDel="00000000" w:rsidP="00000000" w:rsidRDefault="00000000" w:rsidRPr="00000000" w14:paraId="00000021">
            <w:pPr>
              <w:jc w:val="center"/>
              <w:rPr/>
            </w:pPr>
            <w:r w:rsidDel="00000000" w:rsidR="00000000" w:rsidRPr="00000000">
              <w:rPr/>
              <w:drawing>
                <wp:inline distB="0" distT="0" distL="0" distR="0">
                  <wp:extent cx="4470524" cy="2160037"/>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4470524" cy="2160037"/>
                          </a:xfrm>
                          <a:prstGeom prst="rect"/>
                          <a:ln/>
                        </pic:spPr>
                      </pic:pic>
                    </a:graphicData>
                  </a:graphic>
                </wp:inline>
              </w:drawing>
            </w:r>
            <w:r w:rsidDel="00000000" w:rsidR="00000000" w:rsidRPr="00000000">
              <w:rPr/>
              <w:drawing>
                <wp:inline distB="0" distT="0" distL="0" distR="0">
                  <wp:extent cx="4534861" cy="1902430"/>
                  <wp:effectExtent b="0" l="0" r="0" t="0"/>
                  <wp:docPr id="5"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4534861" cy="1902430"/>
                          </a:xfrm>
                          <a:prstGeom prst="rect"/>
                          <a:ln/>
                        </pic:spPr>
                      </pic:pic>
                    </a:graphicData>
                  </a:graphic>
                </wp:inline>
              </w:drawing>
            </w:r>
            <w:r w:rsidDel="00000000" w:rsidR="00000000" w:rsidRPr="00000000">
              <w:rPr/>
              <w:drawing>
                <wp:inline distB="0" distT="0" distL="0" distR="0">
                  <wp:extent cx="4501136" cy="2239952"/>
                  <wp:effectExtent b="0" l="0" r="0" t="0"/>
                  <wp:docPr id="4"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4501136" cy="2239952"/>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2">
      <w:pPr>
        <w:pBdr>
          <w:bottom w:color="1f3864" w:space="4" w:sz="6" w:val="single"/>
        </w:pBdr>
        <w:spacing w:after="160" w:before="320" w:lineRule="auto"/>
        <w:rPr/>
      </w:pPr>
      <w:r w:rsidDel="00000000" w:rsidR="00000000" w:rsidRPr="00000000">
        <w:rPr>
          <w:rFonts w:ascii="Calibri" w:cs="Calibri" w:eastAsia="Calibri" w:hAnsi="Calibri"/>
          <w:b w:val="1"/>
          <w:bCs w:val="1"/>
          <w:color w:val="1f3864"/>
          <w:sz w:val="26"/>
          <w:szCs w:val="26"/>
          <w:rtl w:val="0"/>
        </w:rPr>
        <w:t xml:space="preserve">4. Conclusion</w:t>
      </w:r>
      <w:r w:rsidDel="00000000" w:rsidR="00000000" w:rsidRPr="00000000">
        <w:rPr>
          <w:rtl w:val="0"/>
        </w:rPr>
      </w:r>
    </w:p>
    <w:p w:rsidR="00000000" w:rsidDel="00000000" w:rsidP="00000000" w:rsidRDefault="00000000" w:rsidRPr="00000000" w14:paraId="00000023">
      <w:pPr>
        <w:spacing w:after="120" w:line="264" w:lineRule="auto"/>
        <w:jc w:val="both"/>
        <w:rPr/>
      </w:pPr>
      <w:r w:rsidDel="00000000" w:rsidR="00000000" w:rsidRPr="00000000">
        <w:rPr>
          <w:rFonts w:ascii="Calibri" w:cs="Calibri" w:eastAsia="Calibri" w:hAnsi="Calibri"/>
          <w:color w:val="222222"/>
          <w:sz w:val="22"/>
          <w:szCs w:val="22"/>
          <w:rtl w:val="0"/>
        </w:rPr>
        <w:t xml:space="preserve">The Consulting Workshop gave participants a rare, immersive glimpse into how real consultants approach and solve business problems, blending structured frameworks with grounded, real-world case studies ranging from telecom giants to a neighborhood chai wala. With an average of 65 participants engaging across all four sessions, the workshop successfully built both conceptual understanding and practical problem-solving skills among students.</w:t>
      </w:r>
      <w:r w:rsidDel="00000000" w:rsidR="00000000" w:rsidRPr="00000000">
        <w:rPr>
          <w:rtl w:val="0"/>
        </w:rPr>
      </w:r>
    </w:p>
    <w:p w:rsidR="00000000" w:rsidDel="00000000" w:rsidP="00000000" w:rsidRDefault="00000000" w:rsidRPr="00000000" w14:paraId="00000024">
      <w:pPr>
        <w:spacing w:after="120" w:line="264" w:lineRule="auto"/>
        <w:jc w:val="both"/>
        <w:rPr/>
      </w:pPr>
      <w:r w:rsidDel="00000000" w:rsidR="00000000" w:rsidRPr="00000000">
        <w:rPr>
          <w:rFonts w:ascii="Calibri" w:cs="Calibri" w:eastAsia="Calibri" w:hAnsi="Calibri"/>
          <w:color w:val="222222"/>
          <w:sz w:val="22"/>
          <w:szCs w:val="22"/>
          <w:rtl w:val="0"/>
        </w:rPr>
        <w:t xml:space="preserve">By combining frameworks such as MECE and the McKinsey Three Horizons with diverse case studies and a focus on business moats, the workshop equipped participants with a consultant's toolkit for approaching ambiguous business problems. The Skill Development Cell looks forward to organizing more such in-depth, multi-day programmes to continue building strong analytical and strategic thinking skills among students.</w:t>
      </w:r>
      <w:r w:rsidDel="00000000" w:rsidR="00000000" w:rsidRPr="00000000">
        <w:rPr>
          <w:rtl w:val="0"/>
        </w:rPr>
      </w:r>
    </w:p>
    <w:sectPr>
      <w:pgSz w:h="15840" w:w="12240" w:orient="portrait"/>
      <w:pgMar w:bottom="720" w:top="72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I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